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F7649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F7649B" w:rsidRPr="000763F7" w:rsidRDefault="00F7649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F7649B" w:rsidRPr="000763F7" w:rsidRDefault="00F7649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543F6C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F7649B" w:rsidRPr="000763F7" w:rsidRDefault="00F7649B" w:rsidP="00F7649B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</w:t>
      </w:r>
      <w:r w:rsidR="00543F6C">
        <w:rPr>
          <w:rFonts w:ascii="Arial Narrow" w:hAnsi="Arial Narrow"/>
          <w:bCs/>
        </w:rPr>
        <w:t>3</w:t>
      </w:r>
      <w:r w:rsidRPr="000763F7">
        <w:rPr>
          <w:rFonts w:ascii="Arial Narrow" w:hAnsi="Arial Narrow"/>
          <w:bCs/>
        </w:rPr>
        <w:t>”</w:t>
      </w:r>
    </w:p>
    <w:bookmarkEnd w:id="1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C45DB" w:rsidP="00BC45DB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 w:rsidR="0088643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bookmarkStart w:id="2" w:name="_GoBack"/>
            <w:bookmarkEnd w:id="2"/>
          </w:p>
          <w:p w:rsidR="003F5C97" w:rsidRDefault="00F0446B" w:rsidP="00F0446B">
            <w:pPr>
              <w:tabs>
                <w:tab w:val="left" w:pos="1172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4E09CF" w:rsidRDefault="00A929B7" w:rsidP="00F7649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4"/>
        <w:szCs w:val="16"/>
        <w:highlight w:val="lightGray"/>
      </w:rPr>
    </w:pPr>
    <w:r w:rsidRPr="004E09CF">
      <w:rPr>
        <w:rFonts w:ascii="Atlanta" w:hAnsi="Atlanta"/>
        <w:b/>
        <w:noProof/>
        <w:color w:val="548DD4"/>
        <w:sz w:val="14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4E09CF">
      <w:rPr>
        <w:rFonts w:ascii="Atlanta" w:hAnsi="Atlanta"/>
        <w:b/>
        <w:sz w:val="14"/>
        <w:szCs w:val="16"/>
      </w:rPr>
      <w:t xml:space="preserve"> 11. ERANSKINA – ALDERDI TEKNIKOAK</w:t>
    </w:r>
    <w:r w:rsidRPr="004E09CF">
      <w:rPr>
        <w:rFonts w:ascii="Atlanta" w:hAnsi="Atlanta"/>
        <w:sz w:val="14"/>
        <w:szCs w:val="16"/>
      </w:rPr>
      <w:t xml:space="preserve"> / ANEXO 11 – ASPECTOS TÉCNICOS </w:t>
    </w:r>
    <w:r w:rsidR="008B1494" w:rsidRPr="004E09CF">
      <w:rPr>
        <w:rFonts w:ascii="Atlanta" w:hAnsi="Atlanta" w:cs="Arial"/>
        <w:b/>
        <w:sz w:val="14"/>
        <w:szCs w:val="16"/>
      </w:rPr>
      <w:t xml:space="preserve"> </w:t>
    </w:r>
    <w:r w:rsidR="00F0446B">
      <w:rPr>
        <w:rFonts w:ascii="Atlanta" w:hAnsi="Atlanta"/>
        <w:sz w:val="16"/>
        <w:szCs w:val="18"/>
      </w:rPr>
      <w:t xml:space="preserve"> </w:t>
    </w:r>
    <w:r w:rsidR="00145E7C">
      <w:rPr>
        <w:rFonts w:ascii="Atlanta" w:hAnsi="Atlanta"/>
        <w:b/>
        <w:sz w:val="16"/>
        <w:szCs w:val="16"/>
      </w:rPr>
      <w:t>EZAGUTZA</w:t>
    </w:r>
    <w:r w:rsidR="00F7649B">
      <w:rPr>
        <w:rFonts w:ascii="Atlanta" w:hAnsi="Atlanta"/>
        <w:b/>
        <w:sz w:val="16"/>
        <w:szCs w:val="16"/>
      </w:rPr>
      <w:t xml:space="preserve">              </w:t>
    </w:r>
    <w:r w:rsidR="00F7649B">
      <w:rPr>
        <w:rFonts w:ascii="Atlanta" w:hAnsi="Atlanta" w:cs="Arial"/>
        <w:b/>
        <w:sz w:val="16"/>
        <w:szCs w:val="16"/>
      </w:rPr>
      <w:t>202</w:t>
    </w:r>
    <w:r w:rsidR="00543F6C">
      <w:rPr>
        <w:rFonts w:ascii="Atlanta" w:hAnsi="Atlanta" w:cs="Arial"/>
        <w:b/>
        <w:sz w:val="16"/>
        <w:szCs w:val="16"/>
      </w:rPr>
      <w:t>3</w:t>
    </w:r>
    <w:r w:rsidR="00F7649B" w:rsidRPr="00CF2C32">
      <w:rPr>
        <w:rFonts w:ascii="Atlanta" w:hAnsi="Atlanta" w:cs="Arial"/>
        <w:b/>
        <w:sz w:val="16"/>
        <w:szCs w:val="16"/>
      </w:rPr>
      <w:t xml:space="preserve"> –</w:t>
    </w:r>
    <w:r w:rsidR="00F7649B">
      <w:rPr>
        <w:rFonts w:ascii="Atlanta" w:hAnsi="Atlanta" w:cs="Arial"/>
        <w:b/>
        <w:sz w:val="16"/>
        <w:szCs w:val="16"/>
      </w:rPr>
      <w:t>TRANTSIZIO EKOLOGIKOA</w:t>
    </w:r>
    <w:r w:rsidR="001C4A4C" w:rsidRPr="004E09CF">
      <w:rPr>
        <w:rFonts w:ascii="Atlanta" w:hAnsi="Atlanta" w:cs="Arial"/>
        <w:b/>
        <w:sz w:val="14"/>
        <w:szCs w:val="16"/>
      </w:rPr>
      <w:tab/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PAGE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543F6C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  <w:r w:rsidRPr="004E09CF">
      <w:rPr>
        <w:rStyle w:val="Nmerodepgina"/>
        <w:rFonts w:ascii="Atlanta" w:hAnsi="Atlanta"/>
        <w:sz w:val="14"/>
        <w:szCs w:val="16"/>
        <w:lang w:val="nl-NL"/>
      </w:rPr>
      <w:t>/</w:t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NUMPAGES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543F6C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</w:p>
  <w:p w:rsidR="00911D52" w:rsidRPr="004E09CF" w:rsidRDefault="00911D52" w:rsidP="00A929B7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23511C" w:rsidRPr="00BB7C27">
      <w:rPr>
        <w:noProof/>
        <w:sz w:val="18"/>
        <w:lang w:eastAsia="es-ES"/>
      </w:rPr>
      <w:drawing>
        <wp:inline distT="0" distB="0" distL="0" distR="0" wp14:anchorId="15E963A8" wp14:editId="35A0D39D">
          <wp:extent cx="2952736" cy="835265"/>
          <wp:effectExtent l="0" t="0" r="635" b="3175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5pt;height:16.8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45E7C"/>
    <w:rsid w:val="001532BB"/>
    <w:rsid w:val="00162E91"/>
    <w:rsid w:val="001875A8"/>
    <w:rsid w:val="001A11FA"/>
    <w:rsid w:val="001C4A4C"/>
    <w:rsid w:val="001C4DF1"/>
    <w:rsid w:val="002344AA"/>
    <w:rsid w:val="0023511C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09CF"/>
    <w:rsid w:val="004E269E"/>
    <w:rsid w:val="0050703A"/>
    <w:rsid w:val="00507CCA"/>
    <w:rsid w:val="00537132"/>
    <w:rsid w:val="00543F6C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758F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C45DB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0446B"/>
    <w:rsid w:val="00F13F56"/>
    <w:rsid w:val="00F14A21"/>
    <w:rsid w:val="00F2460E"/>
    <w:rsid w:val="00F7649B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86ECC9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FF14-E347-45EF-9D00-6A3DCDC1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16</cp:revision>
  <cp:lastPrinted>2022-03-01T13:11:00Z</cp:lastPrinted>
  <dcterms:created xsi:type="dcterms:W3CDTF">2022-03-04T07:38:00Z</dcterms:created>
  <dcterms:modified xsi:type="dcterms:W3CDTF">2024-01-24T10:03:00Z</dcterms:modified>
</cp:coreProperties>
</file>