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E74" w:rsidRPr="00D84E74" w:rsidRDefault="00D84E74" w:rsidP="00D84E74">
      <w:pPr>
        <w:spacing w:after="0" w:line="240" w:lineRule="auto"/>
        <w:jc w:val="both"/>
        <w:outlineLvl w:val="2"/>
        <w:rPr>
          <w:rFonts w:ascii="Calibri" w:eastAsia="Times New Roman" w:hAnsi="Calibri" w:cs="Calibri"/>
          <w:bCs/>
          <w:caps/>
          <w:sz w:val="24"/>
          <w:szCs w:val="24"/>
          <w:lang w:val="eu-ES" w:eastAsia="es-ES"/>
        </w:rPr>
      </w:pPr>
      <w:r w:rsidRPr="00D84E74">
        <w:rPr>
          <w:rFonts w:ascii="Calibri" w:eastAsia="Times New Roman" w:hAnsi="Calibri" w:cs="Calibri"/>
          <w:b/>
          <w:bCs/>
          <w:i/>
          <w:caps/>
          <w:color w:val="C45911"/>
          <w:sz w:val="24"/>
          <w:szCs w:val="24"/>
          <w:lang w:val="eu-ES" w:eastAsia="es-ES"/>
        </w:rPr>
        <w:t>Alkatetzaren / Lehendakaritzaren</w:t>
      </w:r>
      <w:r w:rsidRPr="00D84E74">
        <w:rPr>
          <w:rFonts w:ascii="Calibri" w:eastAsia="Times New Roman" w:hAnsi="Calibri" w:cs="Calibri"/>
          <w:b/>
          <w:bCs/>
          <w:caps/>
          <w:sz w:val="24"/>
          <w:szCs w:val="24"/>
          <w:lang w:val="eu-ES" w:eastAsia="es-ES"/>
        </w:rPr>
        <w:t xml:space="preserve"> EBAZPENA </w:t>
      </w:r>
      <w:r w:rsidRPr="00D84E74">
        <w:rPr>
          <w:rFonts w:ascii="Calibri" w:eastAsia="Times New Roman" w:hAnsi="Calibri" w:cs="Calibri"/>
          <w:b/>
          <w:bCs/>
          <w:i/>
          <w:caps/>
          <w:color w:val="C45911"/>
          <w:sz w:val="24"/>
          <w:szCs w:val="24"/>
          <w:lang w:val="eu-ES" w:eastAsia="es-ES"/>
        </w:rPr>
        <w:t>…..ko Udalean / …. Mankomunitatean</w:t>
      </w:r>
      <w:r w:rsidRPr="00D84E74">
        <w:rPr>
          <w:rFonts w:ascii="Calibri" w:eastAsia="Times New Roman" w:hAnsi="Calibri" w:cs="Calibri"/>
          <w:b/>
          <w:bCs/>
          <w:caps/>
          <w:sz w:val="24"/>
          <w:szCs w:val="24"/>
          <w:lang w:val="eu-ES" w:eastAsia="es-ES"/>
        </w:rPr>
        <w:t xml:space="preserve"> barne-kontroleko eredua ezartzeko espedientea izapidetzen hasteko agintzen duena, Gipuzkoako Lurralde Historikoko toki-erakundeen aurrekontuei buruzko, abenduaren 19ko, 21/2003 Foru Arauaren IV. Tituluan eta hura garatzen duen foru dekretuan xedatutakoaren arabera.</w:t>
      </w:r>
    </w:p>
    <w:p w:rsidR="00D84E74" w:rsidRPr="00D84E74" w:rsidRDefault="00D84E74" w:rsidP="00D84E74">
      <w:pPr>
        <w:spacing w:after="0" w:line="240" w:lineRule="auto"/>
        <w:jc w:val="both"/>
        <w:outlineLvl w:val="2"/>
        <w:rPr>
          <w:rFonts w:ascii="Calibri" w:eastAsia="Times New Roman" w:hAnsi="Calibri" w:cs="Calibri"/>
          <w:bCs/>
          <w:sz w:val="24"/>
          <w:szCs w:val="24"/>
          <w:lang w:val="eu-ES" w:eastAsia="es-ES"/>
        </w:rPr>
      </w:pPr>
    </w:p>
    <w:p w:rsidR="00D84E74" w:rsidRPr="00D84E74" w:rsidRDefault="00D84E74" w:rsidP="00D84E74">
      <w:pPr>
        <w:spacing w:after="0" w:line="240" w:lineRule="auto"/>
        <w:jc w:val="both"/>
        <w:outlineLvl w:val="2"/>
        <w:rPr>
          <w:rFonts w:ascii="Calibri" w:eastAsia="Times New Roman" w:hAnsi="Calibri" w:cs="Calibri"/>
          <w:bCs/>
          <w:sz w:val="24"/>
          <w:szCs w:val="24"/>
          <w:lang w:val="eu-ES" w:eastAsia="es-ES"/>
        </w:rPr>
      </w:pPr>
    </w:p>
    <w:p w:rsidR="00D84E74" w:rsidRPr="00D84E74" w:rsidRDefault="00D84E74" w:rsidP="00D84E74">
      <w:pPr>
        <w:spacing w:after="0" w:line="240" w:lineRule="auto"/>
        <w:jc w:val="both"/>
        <w:outlineLvl w:val="2"/>
        <w:rPr>
          <w:rFonts w:ascii="Calibri" w:eastAsia="Times New Roman" w:hAnsi="Calibri" w:cs="Calibri"/>
          <w:bCs/>
          <w:sz w:val="24"/>
          <w:szCs w:val="24"/>
          <w:lang w:val="eu-ES" w:eastAsia="es-ES"/>
        </w:rPr>
      </w:pPr>
    </w:p>
    <w:p w:rsidR="00D84E74" w:rsidRPr="00D84E74" w:rsidRDefault="00D84E74" w:rsidP="00D84E74">
      <w:pPr>
        <w:spacing w:after="0" w:line="240" w:lineRule="auto"/>
        <w:ind w:firstLine="720"/>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Abenduaren 19ko 21/2003 Foru Arauak, Gipuzkoako Lurralde Historikoko Toki Erakundeen Aurrekontuei buruzkoak, IV. Tituluan toki-erakundeen barne-kontrolaren eginkizunak jasotzen ditu, bere kudeaketa ekonomiko propioari eta menpekoak diren entitaterenari dagokionez. Eginkizun horiek barne hartzen dituzte legezkotasunaren kontrola eduki ekonomikoko jarduketetan, finantzen kontrola, programatutako helburuak lortzeko eraginkortasun eta efizientziaren kontrol ekonomikoa eta antolamenduaren kontrola.</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720"/>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Arauak ezartzen duenez, kontrola egiteko unearen arabera, kontrola aldez aurrekoa izan daiteke, kontrolatutako egintza onartu aurretik, edota ondorengoa, kontrolatutako egintza onartu ondoren.</w:t>
      </w:r>
    </w:p>
    <w:p w:rsidR="00D84E74" w:rsidRPr="00D84E74" w:rsidRDefault="00D84E74" w:rsidP="00D84E74">
      <w:pPr>
        <w:spacing w:after="0" w:line="240" w:lineRule="auto"/>
        <w:jc w:val="both"/>
        <w:rPr>
          <w:rFonts w:ascii="Calibri" w:eastAsia="Times New Roman" w:hAnsi="Calibri" w:cs="Calibri"/>
          <w:bCs/>
          <w:sz w:val="24"/>
          <w:szCs w:val="24"/>
          <w:lang w:val="eu-ES" w:eastAsia="es-ES"/>
        </w:rPr>
      </w:pPr>
    </w:p>
    <w:p w:rsidR="00D84E74" w:rsidRPr="00D84E74" w:rsidRDefault="00D84E74" w:rsidP="00D84E74">
      <w:pPr>
        <w:spacing w:after="0" w:line="240" w:lineRule="auto"/>
        <w:ind w:firstLine="720"/>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Sarrera eta eskubideen esparruan, aldez aurreko kontrolari dagokionez, arau horrek xedatzen du toki-erakundeek erabaki ahal izango dutela, Osoko Bilkuraren akordio bidez, eskubide eta sarreren aurretiazko fiskalizazioa egin beharrean, kontabilitatean haren berri hartzeko kontrola eramatea, eta ondorengo egiaztatze-jarduerak egitea laginketa edo ikuskapen-teknikak erabiliz.</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360"/>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Era berean, gastuen aurretiazko fiskalizazioari dagokionez, Osoko Bilkurak erabaki ahal izango du, lehendakariak proposatuta eta organo kontu-hartzaileak txostena egin ondoren, aldez aurreko esku-hartzea honako hauek egiaztatzera mugatzea:</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numPr>
          <w:ilvl w:val="0"/>
          <w:numId w:val="1"/>
        </w:numPr>
        <w:spacing w:after="0" w:line="240" w:lineRule="auto"/>
        <w:jc w:val="both"/>
        <w:rPr>
          <w:rFonts w:ascii="Calibri" w:eastAsia="Times New Roman" w:hAnsi="Calibri" w:cs="Calibri"/>
          <w:color w:val="111111"/>
          <w:sz w:val="24"/>
          <w:szCs w:val="24"/>
          <w:lang w:eastAsia="es-ES"/>
        </w:rPr>
      </w:pPr>
      <w:r w:rsidRPr="00D84E74">
        <w:rPr>
          <w:rFonts w:ascii="Calibri" w:eastAsia="Times New Roman" w:hAnsi="Calibri" w:cs="Calibri"/>
          <w:sz w:val="24"/>
          <w:szCs w:val="24"/>
          <w:lang w:val="eu-ES" w:eastAsia="es-ES"/>
        </w:rPr>
        <w:t>A</w:t>
      </w:r>
      <w:proofErr w:type="spellStart"/>
      <w:r w:rsidRPr="00D84E74">
        <w:rPr>
          <w:rFonts w:ascii="Calibri" w:eastAsia="Times New Roman" w:hAnsi="Calibri" w:cs="Calibri"/>
          <w:color w:val="111111"/>
          <w:sz w:val="24"/>
          <w:szCs w:val="24"/>
          <w:lang w:eastAsia="es-ES"/>
        </w:rPr>
        <w:t>urrekontu-kreditua</w:t>
      </w:r>
      <w:proofErr w:type="spellEnd"/>
      <w:r w:rsidRPr="00D84E74">
        <w:rPr>
          <w:rFonts w:ascii="Calibri" w:eastAsia="Times New Roman" w:hAnsi="Calibri" w:cs="Calibri"/>
          <w:color w:val="111111"/>
          <w:sz w:val="24"/>
          <w:szCs w:val="24"/>
          <w:lang w:eastAsia="es-ES"/>
        </w:rPr>
        <w:t xml:space="preserve"> </w:t>
      </w:r>
      <w:proofErr w:type="spellStart"/>
      <w:r w:rsidRPr="00D84E74">
        <w:rPr>
          <w:rFonts w:ascii="Calibri" w:eastAsia="Times New Roman" w:hAnsi="Calibri" w:cs="Calibri"/>
          <w:color w:val="111111"/>
          <w:sz w:val="24"/>
          <w:szCs w:val="24"/>
          <w:lang w:eastAsia="es-ES"/>
        </w:rPr>
        <w:t>badagoela</w:t>
      </w:r>
      <w:proofErr w:type="spellEnd"/>
      <w:r w:rsidRPr="00D84E74">
        <w:rPr>
          <w:rFonts w:ascii="Calibri" w:eastAsia="Times New Roman" w:hAnsi="Calibri" w:cs="Calibri"/>
          <w:color w:val="111111"/>
          <w:sz w:val="24"/>
          <w:szCs w:val="24"/>
          <w:lang w:eastAsia="es-ES"/>
        </w:rPr>
        <w:t xml:space="preserve"> eta </w:t>
      </w:r>
      <w:proofErr w:type="spellStart"/>
      <w:r w:rsidRPr="00D84E74">
        <w:rPr>
          <w:rFonts w:ascii="Calibri" w:eastAsia="Times New Roman" w:hAnsi="Calibri" w:cs="Calibri"/>
          <w:color w:val="111111"/>
          <w:sz w:val="24"/>
          <w:szCs w:val="24"/>
          <w:lang w:eastAsia="es-ES"/>
        </w:rPr>
        <w:t>proposatutakoa</w:t>
      </w:r>
      <w:proofErr w:type="spellEnd"/>
      <w:r w:rsidRPr="00D84E74">
        <w:rPr>
          <w:rFonts w:ascii="Calibri" w:eastAsia="Times New Roman" w:hAnsi="Calibri" w:cs="Calibri"/>
          <w:color w:val="111111"/>
          <w:sz w:val="24"/>
          <w:szCs w:val="24"/>
          <w:lang w:eastAsia="es-ES"/>
        </w:rPr>
        <w:t xml:space="preserve"> </w:t>
      </w:r>
      <w:proofErr w:type="spellStart"/>
      <w:r w:rsidRPr="00D84E74">
        <w:rPr>
          <w:rFonts w:ascii="Calibri" w:eastAsia="Times New Roman" w:hAnsi="Calibri" w:cs="Calibri"/>
          <w:color w:val="111111"/>
          <w:sz w:val="24"/>
          <w:szCs w:val="24"/>
          <w:lang w:eastAsia="es-ES"/>
        </w:rPr>
        <w:t>gastu</w:t>
      </w:r>
      <w:proofErr w:type="spellEnd"/>
      <w:r w:rsidRPr="00D84E74">
        <w:rPr>
          <w:rFonts w:ascii="Calibri" w:eastAsia="Times New Roman" w:hAnsi="Calibri" w:cs="Calibri"/>
          <w:color w:val="111111"/>
          <w:sz w:val="24"/>
          <w:szCs w:val="24"/>
          <w:lang w:eastAsia="es-ES"/>
        </w:rPr>
        <w:t xml:space="preserve"> </w:t>
      </w:r>
      <w:proofErr w:type="spellStart"/>
      <w:r w:rsidRPr="00D84E74">
        <w:rPr>
          <w:rFonts w:ascii="Calibri" w:eastAsia="Times New Roman" w:hAnsi="Calibri" w:cs="Calibri"/>
          <w:color w:val="111111"/>
          <w:sz w:val="24"/>
          <w:szCs w:val="24"/>
          <w:lang w:eastAsia="es-ES"/>
        </w:rPr>
        <w:t>edo</w:t>
      </w:r>
      <w:proofErr w:type="spellEnd"/>
      <w:r w:rsidRPr="00D84E74">
        <w:rPr>
          <w:rFonts w:ascii="Calibri" w:eastAsia="Times New Roman" w:hAnsi="Calibri" w:cs="Calibri"/>
          <w:color w:val="111111"/>
          <w:sz w:val="24"/>
          <w:szCs w:val="24"/>
          <w:lang w:eastAsia="es-ES"/>
        </w:rPr>
        <w:t xml:space="preserve"> </w:t>
      </w:r>
      <w:proofErr w:type="spellStart"/>
      <w:r w:rsidRPr="00D84E74">
        <w:rPr>
          <w:rFonts w:ascii="Calibri" w:eastAsia="Times New Roman" w:hAnsi="Calibri" w:cs="Calibri"/>
          <w:color w:val="111111"/>
          <w:sz w:val="24"/>
          <w:szCs w:val="24"/>
          <w:lang w:eastAsia="es-ES"/>
        </w:rPr>
        <w:t>obligazioaren</w:t>
      </w:r>
      <w:proofErr w:type="spellEnd"/>
      <w:r w:rsidRPr="00D84E74">
        <w:rPr>
          <w:rFonts w:ascii="Calibri" w:eastAsia="Times New Roman" w:hAnsi="Calibri" w:cs="Calibri"/>
          <w:color w:val="111111"/>
          <w:sz w:val="24"/>
          <w:szCs w:val="24"/>
          <w:lang w:eastAsia="es-ES"/>
        </w:rPr>
        <w:t xml:space="preserve"> </w:t>
      </w:r>
      <w:proofErr w:type="spellStart"/>
      <w:r w:rsidRPr="00D84E74">
        <w:rPr>
          <w:rFonts w:ascii="Calibri" w:eastAsia="Times New Roman" w:hAnsi="Calibri" w:cs="Calibri"/>
          <w:color w:val="111111"/>
          <w:sz w:val="24"/>
          <w:szCs w:val="24"/>
          <w:lang w:eastAsia="es-ES"/>
        </w:rPr>
        <w:t>izaerarako</w:t>
      </w:r>
      <w:proofErr w:type="spellEnd"/>
      <w:r w:rsidRPr="00D84E74">
        <w:rPr>
          <w:rFonts w:ascii="Calibri" w:eastAsia="Times New Roman" w:hAnsi="Calibri" w:cs="Calibri"/>
          <w:color w:val="111111"/>
          <w:sz w:val="24"/>
          <w:szCs w:val="24"/>
          <w:lang w:eastAsia="es-ES"/>
        </w:rPr>
        <w:t xml:space="preserve"> </w:t>
      </w:r>
      <w:proofErr w:type="spellStart"/>
      <w:r w:rsidRPr="00D84E74">
        <w:rPr>
          <w:rFonts w:ascii="Calibri" w:eastAsia="Times New Roman" w:hAnsi="Calibri" w:cs="Calibri"/>
          <w:color w:val="111111"/>
          <w:sz w:val="24"/>
          <w:szCs w:val="24"/>
          <w:lang w:eastAsia="es-ES"/>
        </w:rPr>
        <w:t>egokia</w:t>
      </w:r>
      <w:proofErr w:type="spellEnd"/>
      <w:r w:rsidRPr="00D84E74">
        <w:rPr>
          <w:rFonts w:ascii="Calibri" w:eastAsia="Times New Roman" w:hAnsi="Calibri" w:cs="Calibri"/>
          <w:color w:val="111111"/>
          <w:sz w:val="24"/>
          <w:szCs w:val="24"/>
          <w:lang w:eastAsia="es-ES"/>
        </w:rPr>
        <w:t xml:space="preserve"> dela.</w:t>
      </w:r>
    </w:p>
    <w:p w:rsidR="00D84E74" w:rsidRPr="00D84E74" w:rsidRDefault="00D84E74" w:rsidP="00D84E74">
      <w:pPr>
        <w:numPr>
          <w:ilvl w:val="0"/>
          <w:numId w:val="1"/>
        </w:numPr>
        <w:spacing w:after="0" w:line="240" w:lineRule="auto"/>
        <w:jc w:val="both"/>
        <w:rPr>
          <w:rFonts w:ascii="Calibri" w:eastAsia="Times New Roman" w:hAnsi="Calibri" w:cs="Calibri"/>
          <w:color w:val="111111"/>
          <w:sz w:val="24"/>
          <w:szCs w:val="24"/>
          <w:lang w:val="eu-ES" w:eastAsia="es-ES"/>
        </w:rPr>
      </w:pPr>
      <w:r w:rsidRPr="00D84E74">
        <w:rPr>
          <w:rFonts w:ascii="Calibri" w:eastAsia="Times New Roman" w:hAnsi="Calibri" w:cs="Calibri"/>
          <w:color w:val="111111"/>
          <w:sz w:val="24"/>
          <w:szCs w:val="24"/>
          <w:lang w:val="eu-ES" w:eastAsia="es-ES"/>
        </w:rPr>
        <w:t>Obligazioak edo gastuak organo eskudunak sortzea.</w:t>
      </w:r>
    </w:p>
    <w:p w:rsidR="00D84E74" w:rsidRPr="00D84E74" w:rsidRDefault="00D84E74" w:rsidP="00D84E74">
      <w:pPr>
        <w:numPr>
          <w:ilvl w:val="0"/>
          <w:numId w:val="1"/>
        </w:numPr>
        <w:spacing w:after="0" w:line="240" w:lineRule="auto"/>
        <w:jc w:val="both"/>
        <w:rPr>
          <w:rFonts w:ascii="Calibri" w:eastAsia="Times New Roman" w:hAnsi="Calibri" w:cs="Calibri"/>
          <w:color w:val="111111"/>
          <w:sz w:val="24"/>
          <w:szCs w:val="24"/>
          <w:lang w:val="eu-ES" w:eastAsia="es-ES"/>
        </w:rPr>
      </w:pPr>
      <w:r w:rsidRPr="00D84E74">
        <w:rPr>
          <w:rFonts w:ascii="Calibri" w:eastAsia="Times New Roman" w:hAnsi="Calibri" w:cs="Calibri"/>
          <w:color w:val="111111"/>
          <w:sz w:val="24"/>
          <w:szCs w:val="24"/>
          <w:lang w:val="eu-ES" w:eastAsia="es-ES"/>
        </w:rPr>
        <w:t>Kudeaketa prozesuan duten garrantzia dela eta, Osoko Bilkurak zehazten dituen gainerako alderdiak.</w:t>
      </w:r>
    </w:p>
    <w:p w:rsidR="00D84E74" w:rsidRPr="00D84E74" w:rsidRDefault="00D84E74" w:rsidP="00D84E74">
      <w:pPr>
        <w:spacing w:after="0" w:line="240" w:lineRule="auto"/>
        <w:jc w:val="both"/>
        <w:rPr>
          <w:rFonts w:ascii="Calibri" w:eastAsia="Times New Roman" w:hAnsi="Calibri" w:cs="Calibri"/>
          <w:color w:val="111111"/>
          <w:sz w:val="24"/>
          <w:szCs w:val="24"/>
          <w:lang w:eastAsia="es-ES"/>
        </w:rPr>
      </w:pPr>
    </w:p>
    <w:p w:rsidR="00D84E74" w:rsidRPr="00D84E74" w:rsidRDefault="00D84E74" w:rsidP="00D84E74">
      <w:pPr>
        <w:spacing w:after="0" w:line="240" w:lineRule="auto"/>
        <w:ind w:firstLine="360"/>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Kasu horietan, fiskalizazio mugatua aplikatu zaien obligazio edo gastuak gauzatu ondoren, osorik fiskalizatu ahal izango dira, egintza, agiri edo espedienteen lagin adierazgarri baten gainean laginketa edo ikuskapen-teknikak aplikatuz, betiere kasu bakoitzean aplikatzekoak diren xedapenekin bat datozela egiaztatzeko eta kredituen kudeaketan legezkotasuna zenbateraino betetzen den zehazteko.</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360"/>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 xml:space="preserve">Aurretiazko fiskalizazioari buruzko aipatu aurreko lege-agindu horiek, abenduaren 27ko, 32/2018 Foru Dekretuak garatu ditu, Gipuzkoako Toki Sektore Publikoko erakundeen barne-kontrolaren araubide juridikoa arautzen duenak; bereziki, 9. artikuluak, eskubide eta sarreren aurretiazko fiskalizazioari buruzkoak, eta 13. artikuluak, gastuen esparruan oinarrizko baldintzen aurretiazko fiskalizazio eta kontu-hartze mugatuko araubideari buruzkoak. </w:t>
      </w:r>
    </w:p>
    <w:p w:rsidR="00D84E74" w:rsidRPr="00D84E74" w:rsidRDefault="00D84E74" w:rsidP="00D84E74">
      <w:pPr>
        <w:spacing w:after="0" w:line="240" w:lineRule="auto"/>
        <w:ind w:firstLine="360"/>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360"/>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lastRenderedPageBreak/>
        <w:t xml:space="preserve">Bestalde, 21/2003 Foru Arauaren 70.3 artikuluak xedatzen du zein kasutan joko diren </w:t>
      </w:r>
      <w:proofErr w:type="spellStart"/>
      <w:r w:rsidRPr="00D84E74">
        <w:rPr>
          <w:rFonts w:ascii="Calibri" w:eastAsia="Times New Roman" w:hAnsi="Calibri" w:cs="Calibri"/>
          <w:sz w:val="24"/>
          <w:szCs w:val="24"/>
          <w:lang w:val="eu-ES" w:eastAsia="es-ES"/>
        </w:rPr>
        <w:t>etenarazletzat</w:t>
      </w:r>
      <w:proofErr w:type="spellEnd"/>
      <w:r w:rsidRPr="00D84E74">
        <w:rPr>
          <w:rFonts w:ascii="Calibri" w:eastAsia="Times New Roman" w:hAnsi="Calibri" w:cs="Calibri"/>
          <w:sz w:val="24"/>
          <w:szCs w:val="24"/>
          <w:lang w:val="eu-ES" w:eastAsia="es-ES"/>
        </w:rPr>
        <w:t xml:space="preserve"> kontu-hartzaileak gastu eta ordainketen gaineko kontu-hartze eginkizunean luzatutako eragozpenak. Beste batzuen artean, espedientean funtsezko diren betekizun edo izapideak egin ez diren kasua aipatzen du, hain zuzen 32/2018 Foru Dekretuaren 12.3 artikuluak garatzen duen kasua. Hala, azken artikulu horrek, aipatu ez-egite hori gertatzen den hiru kasu zerrendatzeaz gain, xedatzen du korporazioaren osoko bilkurak, kontu-hartzailearen txostena jaso ondoren, beste baldintza edo izapide gehigarri batzuk ere onartu ahal izango dituela, funtsezkotzat joko direnak.</w:t>
      </w:r>
    </w:p>
    <w:p w:rsidR="00D84E74" w:rsidRPr="00D84E74" w:rsidRDefault="00D84E74" w:rsidP="00D84E74">
      <w:pPr>
        <w:spacing w:after="0" w:line="240" w:lineRule="auto"/>
        <w:jc w:val="both"/>
        <w:outlineLvl w:val="2"/>
        <w:rPr>
          <w:rFonts w:ascii="Calibri" w:eastAsia="Times New Roman" w:hAnsi="Calibri" w:cs="Calibri"/>
          <w:bCs/>
          <w:sz w:val="24"/>
          <w:szCs w:val="24"/>
          <w:lang w:val="eu-ES" w:eastAsia="es-ES"/>
        </w:rPr>
      </w:pPr>
    </w:p>
    <w:p w:rsidR="00D84E74" w:rsidRPr="00D84E74" w:rsidRDefault="00D84E74" w:rsidP="00D84E74">
      <w:pPr>
        <w:spacing w:after="0" w:line="240" w:lineRule="auto"/>
        <w:ind w:firstLine="284"/>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 xml:space="preserve">Bi testuen azterketa bateratuaren arabera, barne-kontrolerako eredua konfiguratzeko, toki-erakunde honek, </w:t>
      </w:r>
      <w:r w:rsidRPr="00D84E74">
        <w:rPr>
          <w:rFonts w:ascii="Calibri" w:eastAsia="Times New Roman" w:hAnsi="Calibri" w:cs="Calibri"/>
          <w:i/>
          <w:color w:val="C45911"/>
          <w:sz w:val="24"/>
          <w:szCs w:val="24"/>
          <w:lang w:val="eu-ES" w:eastAsia="es-ES"/>
        </w:rPr>
        <w:t>[Osoko Bilkuraren / Batzar Orokorraren]</w:t>
      </w:r>
      <w:r w:rsidRPr="00D84E74">
        <w:rPr>
          <w:rFonts w:ascii="Calibri" w:eastAsia="Times New Roman" w:hAnsi="Calibri" w:cs="Calibri"/>
          <w:sz w:val="24"/>
          <w:szCs w:val="24"/>
          <w:lang w:val="eu-ES" w:eastAsia="es-ES"/>
        </w:rPr>
        <w:t xml:space="preserve"> akordio bidez, ondoren aipatzen diren gaiei buruzko iritzia eman beharko du, 21/2003 Foru Arauan eta 32/2018 Foru Dekretuan ezarritako esparruaren eta mugen barruan:</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numPr>
          <w:ilvl w:val="0"/>
          <w:numId w:val="2"/>
        </w:numPr>
        <w:spacing w:after="0" w:line="240" w:lineRule="auto"/>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Hala badagokio, gastuen aurretiazko fiskalizazio eta kontu-hartze mugatuko araubidea onartzea.</w:t>
      </w:r>
    </w:p>
    <w:p w:rsidR="00D84E74" w:rsidRPr="00D84E74" w:rsidRDefault="00D84E74" w:rsidP="00D84E74">
      <w:pPr>
        <w:spacing w:after="0" w:line="240" w:lineRule="auto"/>
        <w:ind w:left="644"/>
        <w:jc w:val="both"/>
        <w:rPr>
          <w:rFonts w:ascii="Calibri" w:eastAsia="Times New Roman" w:hAnsi="Calibri" w:cs="Calibri"/>
          <w:sz w:val="24"/>
          <w:szCs w:val="24"/>
          <w:lang w:val="eu-ES" w:eastAsia="es-ES"/>
        </w:rPr>
      </w:pPr>
    </w:p>
    <w:p w:rsidR="00D84E74" w:rsidRPr="00D84E74" w:rsidRDefault="00D84E74" w:rsidP="00D84E74">
      <w:pPr>
        <w:numPr>
          <w:ilvl w:val="0"/>
          <w:numId w:val="2"/>
        </w:numPr>
        <w:spacing w:after="0" w:line="240" w:lineRule="auto"/>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Aurrekoa onartuz gero, kudeaketa prozesuan duten garrantzia kontuan hartuta, zehaztea oinarrizko betekizunen araubidean sartu behar diren beste betekizun edo izapide osagarri batzuk.</w:t>
      </w:r>
    </w:p>
    <w:p w:rsidR="00D84E74" w:rsidRPr="00D84E74" w:rsidRDefault="00D84E74" w:rsidP="00D84E74">
      <w:pPr>
        <w:spacing w:after="0" w:line="240" w:lineRule="auto"/>
        <w:ind w:left="708"/>
        <w:rPr>
          <w:rFonts w:ascii="Calibri" w:eastAsia="Times New Roman" w:hAnsi="Calibri" w:cs="Calibri"/>
          <w:sz w:val="24"/>
          <w:szCs w:val="24"/>
          <w:lang w:val="eu-ES" w:eastAsia="es-ES"/>
        </w:rPr>
      </w:pPr>
    </w:p>
    <w:p w:rsidR="00D84E74" w:rsidRPr="00D84E74" w:rsidRDefault="00D84E74" w:rsidP="00D84E74">
      <w:pPr>
        <w:numPr>
          <w:ilvl w:val="0"/>
          <w:numId w:val="2"/>
        </w:numPr>
        <w:spacing w:after="0" w:line="240" w:lineRule="auto"/>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Etendura-eragozpenetarako funtsezkoak izango diren beste betekizun edo izapide batzuk zehaztea, hala badagokio.</w:t>
      </w:r>
    </w:p>
    <w:p w:rsidR="00D84E74" w:rsidRPr="00D84E74" w:rsidRDefault="00D84E74" w:rsidP="00D84E74">
      <w:pPr>
        <w:spacing w:after="0" w:line="240" w:lineRule="auto"/>
        <w:ind w:left="708"/>
        <w:rPr>
          <w:rFonts w:ascii="Calibri" w:eastAsia="Times New Roman" w:hAnsi="Calibri" w:cs="Calibri"/>
          <w:sz w:val="24"/>
          <w:szCs w:val="24"/>
          <w:lang w:val="eu-ES" w:eastAsia="es-ES"/>
        </w:rPr>
      </w:pPr>
    </w:p>
    <w:p w:rsidR="00D84E74" w:rsidRPr="00D84E74" w:rsidRDefault="00D84E74" w:rsidP="00D84E74">
      <w:pPr>
        <w:numPr>
          <w:ilvl w:val="0"/>
          <w:numId w:val="2"/>
        </w:numPr>
        <w:spacing w:after="0" w:line="240" w:lineRule="auto"/>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Hala badagokio, toki-erakundearen eta haren erakunde autonomoen diruzaintzako eskubide eta diru-sarreren aldez aurreko fiskalizazioa kontabilitatean izena emateari eta ondorengo finantza-kontrolari lotutako kontrolarekin ordezkatzea. Ordezkapena partziala bada, aplikatzekoak ez diren sarrera kontzeptuak identifikatu beharko dira.</w:t>
      </w:r>
    </w:p>
    <w:p w:rsidR="00D84E74" w:rsidRPr="00D84E74" w:rsidRDefault="00D84E74" w:rsidP="00D84E74">
      <w:pPr>
        <w:spacing w:after="0" w:line="240" w:lineRule="auto"/>
        <w:ind w:left="708"/>
        <w:rPr>
          <w:rFonts w:ascii="Calibri" w:eastAsia="Times New Roman" w:hAnsi="Calibri" w:cs="Calibri"/>
          <w:sz w:val="24"/>
          <w:szCs w:val="24"/>
          <w:lang w:val="eu-ES" w:eastAsia="es-ES"/>
        </w:rPr>
      </w:pPr>
    </w:p>
    <w:p w:rsidR="00D84E74" w:rsidRPr="00D84E74" w:rsidRDefault="00D84E74" w:rsidP="00D84E74">
      <w:pPr>
        <w:spacing w:after="0" w:line="240" w:lineRule="auto"/>
        <w:ind w:left="644"/>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Ordezkapenak ez du inolaz ere hartuko okerreko diru-sarrera itzulketen ondoriozko ordainketa manamendu eta ordainketa materialaren fiskalizazioa.</w:t>
      </w:r>
    </w:p>
    <w:p w:rsidR="00D84E74" w:rsidRPr="00D84E74" w:rsidRDefault="00D84E74" w:rsidP="00D84E74">
      <w:pPr>
        <w:spacing w:after="0" w:line="240" w:lineRule="auto"/>
        <w:ind w:left="708"/>
        <w:rPr>
          <w:rFonts w:ascii="Calibri" w:eastAsia="Times New Roman" w:hAnsi="Calibri" w:cs="Calibri"/>
          <w:sz w:val="24"/>
          <w:szCs w:val="24"/>
          <w:lang w:val="eu-ES" w:eastAsia="es-ES"/>
        </w:rPr>
      </w:pPr>
    </w:p>
    <w:p w:rsidR="00D84E74" w:rsidRPr="00D84E74" w:rsidRDefault="00D84E74" w:rsidP="00D84E74">
      <w:pPr>
        <w:numPr>
          <w:ilvl w:val="0"/>
          <w:numId w:val="2"/>
        </w:numPr>
        <w:spacing w:after="0" w:line="240" w:lineRule="auto"/>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 xml:space="preserve">Toki-erakundearen (eta haren perimetroa osatzen duten erakundeen) eta barne-kontroleko organoaren beraren antolaketa eta funtzionamendua kontrol-eredu berriaren eskakizunetara egokitzea </w:t>
      </w:r>
      <w:r w:rsidRPr="00D84E74">
        <w:rPr>
          <w:rFonts w:ascii="Calibri" w:eastAsia="Times New Roman" w:hAnsi="Calibri" w:cs="Calibri"/>
          <w:i/>
          <w:sz w:val="24"/>
          <w:szCs w:val="24"/>
          <w:lang w:val="eu-ES" w:eastAsia="es-ES"/>
        </w:rPr>
        <w:t xml:space="preserve">(Lehendakaritzaren </w:t>
      </w:r>
      <w:r w:rsidRPr="00D84E74">
        <w:rPr>
          <w:rFonts w:ascii="Calibri" w:eastAsia="Times New Roman" w:hAnsi="Calibri" w:cs="Calibri"/>
          <w:sz w:val="24"/>
          <w:szCs w:val="24"/>
          <w:lang w:val="eu-ES" w:eastAsia="es-ES"/>
        </w:rPr>
        <w:t xml:space="preserve">dekretu bidez edota </w:t>
      </w:r>
      <w:r w:rsidRPr="00D84E74">
        <w:rPr>
          <w:rFonts w:ascii="Calibri" w:eastAsia="Times New Roman" w:hAnsi="Calibri" w:cs="Calibri"/>
          <w:i/>
          <w:color w:val="C45911"/>
          <w:sz w:val="24"/>
          <w:szCs w:val="24"/>
          <w:lang w:val="eu-ES" w:eastAsia="es-ES"/>
        </w:rPr>
        <w:t xml:space="preserve">[Idazkaritza-kontu-hartzailetzaren / kontu-hartzailearen] </w:t>
      </w:r>
      <w:r w:rsidRPr="00D84E74">
        <w:rPr>
          <w:rFonts w:ascii="Calibri" w:eastAsia="Times New Roman" w:hAnsi="Calibri" w:cs="Calibri"/>
          <w:sz w:val="24"/>
          <w:szCs w:val="24"/>
          <w:lang w:val="eu-ES" w:eastAsia="es-ES"/>
        </w:rPr>
        <w:t>instrukzio bidez ezarri beharreko egokitzapenen kalterik gabe).</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284"/>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 xml:space="preserve">Osoko bilkuraren aurreko erabakiez gain, </w:t>
      </w:r>
      <w:r w:rsidRPr="00D84E74">
        <w:rPr>
          <w:rFonts w:ascii="Calibri" w:eastAsia="Times New Roman" w:hAnsi="Calibri" w:cs="Calibri"/>
          <w:i/>
          <w:color w:val="C45911"/>
          <w:sz w:val="24"/>
          <w:szCs w:val="24"/>
          <w:lang w:val="eu-ES" w:eastAsia="es-ES"/>
        </w:rPr>
        <w:t>[Idazkaritza-kontu-hartzailetzari / kontu-hartzailetzari]</w:t>
      </w:r>
      <w:r w:rsidRPr="00D84E74">
        <w:rPr>
          <w:rFonts w:ascii="Calibri" w:eastAsia="Times New Roman" w:hAnsi="Calibri" w:cs="Calibri"/>
          <w:sz w:val="24"/>
          <w:szCs w:val="24"/>
          <w:lang w:val="eu-ES" w:eastAsia="es-ES"/>
        </w:rPr>
        <w:t xml:space="preserve"> dagokio 32/2018 Foru Dekretuaren V Tituluan aurreikusitako barne-kontrol sinplifikatuaren araubidera biltzeko erabakia. Nolanahi ere, Osoko Bilkurari horren berri eman beharko zaio, Lehendakaritza honen bidez.</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284"/>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 xml:space="preserve">Barne-kontrol sinplifikatuaren araubidea aplikatuz gero, ez da nahitaezkoa izango ondorengo finantza-kontrola egitea. Hala ere, aplikatu beharko dira kontuen auditoretza, 32/2018 Foru </w:t>
      </w:r>
      <w:r w:rsidRPr="00D84E74">
        <w:rPr>
          <w:rFonts w:ascii="Calibri" w:eastAsia="Times New Roman" w:hAnsi="Calibri" w:cs="Calibri"/>
          <w:sz w:val="24"/>
          <w:szCs w:val="24"/>
          <w:lang w:val="eu-ES" w:eastAsia="es-ES"/>
        </w:rPr>
        <w:lastRenderedPageBreak/>
        <w:t xml:space="preserve">Dekretuaren 29.3.A) artikuluan aurreikusitako kasuetan, eta legezko betebeharra dela-eta organo kontu-hartzaileak egin beharreko jarduketa. </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284"/>
        <w:jc w:val="both"/>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Horrenbestez,</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jc w:val="center"/>
        <w:rPr>
          <w:rFonts w:ascii="Calibri" w:eastAsia="Times New Roman" w:hAnsi="Calibri" w:cs="Calibri"/>
          <w:b/>
          <w:sz w:val="24"/>
          <w:szCs w:val="24"/>
          <w:lang w:val="eu-ES" w:eastAsia="es-ES"/>
        </w:rPr>
      </w:pPr>
      <w:r w:rsidRPr="00D84E74">
        <w:rPr>
          <w:rFonts w:ascii="Calibri" w:eastAsia="Times New Roman" w:hAnsi="Calibri" w:cs="Calibri"/>
          <w:b/>
          <w:sz w:val="24"/>
          <w:szCs w:val="24"/>
          <w:lang w:val="eu-ES" w:eastAsia="es-ES"/>
        </w:rPr>
        <w:t>XEDATU DUT:</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jc w:val="both"/>
        <w:rPr>
          <w:rFonts w:ascii="Calibri" w:eastAsia="Times New Roman" w:hAnsi="Calibri" w:cs="Calibri"/>
          <w:sz w:val="24"/>
          <w:szCs w:val="24"/>
          <w:lang w:val="eu-ES" w:eastAsia="es-ES"/>
        </w:rPr>
      </w:pPr>
      <w:r w:rsidRPr="00D84E74">
        <w:rPr>
          <w:rFonts w:ascii="Calibri" w:eastAsia="Times New Roman" w:hAnsi="Calibri" w:cs="Calibri"/>
          <w:i/>
          <w:color w:val="C45911"/>
          <w:sz w:val="24"/>
          <w:szCs w:val="24"/>
          <w:lang w:val="eu-ES" w:eastAsia="es-ES"/>
        </w:rPr>
        <w:t>[……... Mankomunitatearen... / …..(e)ko Udalean]</w:t>
      </w:r>
      <w:r w:rsidRPr="00D84E74">
        <w:rPr>
          <w:rFonts w:ascii="Calibri" w:eastAsia="Times New Roman" w:hAnsi="Calibri" w:cs="Calibri"/>
          <w:sz w:val="24"/>
          <w:szCs w:val="24"/>
          <w:lang w:val="eu-ES" w:eastAsia="es-ES"/>
        </w:rPr>
        <w:t xml:space="preserve"> barne kontrolaren eredua ezartzeko espedientea tramitatzen hastea. Horretarako:</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720"/>
        <w:jc w:val="both"/>
        <w:rPr>
          <w:rFonts w:ascii="Calibri" w:eastAsia="Times New Roman" w:hAnsi="Calibri" w:cs="Calibri"/>
          <w:sz w:val="24"/>
          <w:szCs w:val="24"/>
          <w:lang w:val="eu-ES" w:eastAsia="es-ES"/>
        </w:rPr>
      </w:pPr>
      <w:r w:rsidRPr="00D84E74">
        <w:rPr>
          <w:rFonts w:ascii="Calibri" w:eastAsia="Times New Roman" w:hAnsi="Calibri" w:cs="Calibri"/>
          <w:b/>
          <w:sz w:val="24"/>
          <w:szCs w:val="24"/>
          <w:lang w:val="eu-ES" w:eastAsia="es-ES"/>
        </w:rPr>
        <w:t>LEHENENGOA</w:t>
      </w:r>
      <w:r w:rsidRPr="00D84E74">
        <w:rPr>
          <w:rFonts w:ascii="Calibri" w:eastAsia="Times New Roman" w:hAnsi="Calibri" w:cs="Calibri"/>
          <w:sz w:val="24"/>
          <w:szCs w:val="24"/>
          <w:lang w:val="eu-ES" w:eastAsia="es-ES"/>
        </w:rPr>
        <w:t xml:space="preserve">.- Barne-kontroleko organoak </w:t>
      </w:r>
      <w:r w:rsidRPr="00D84E74">
        <w:rPr>
          <w:rFonts w:ascii="Calibri" w:eastAsia="Times New Roman" w:hAnsi="Calibri" w:cs="Calibri"/>
          <w:i/>
          <w:color w:val="C45911"/>
          <w:sz w:val="24"/>
          <w:szCs w:val="24"/>
          <w:lang w:val="eu-ES" w:eastAsia="es-ES"/>
        </w:rPr>
        <w:t>([Idazkaritza-Kontuhartzailetza / Kontuhartzailetza]</w:t>
      </w:r>
      <w:r w:rsidRPr="00D84E74">
        <w:rPr>
          <w:rFonts w:ascii="Calibri" w:eastAsia="Times New Roman" w:hAnsi="Calibri" w:cs="Calibri"/>
          <w:sz w:val="24"/>
          <w:szCs w:val="24"/>
          <w:lang w:val="eu-ES" w:eastAsia="es-ES"/>
        </w:rPr>
        <w:t>) txostena egitea Osoko Bilkuraren erabaki-proposamenarekin, toki-erakunde honetan barne-kontrolerako eredua onartzeko.</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720"/>
        <w:jc w:val="both"/>
        <w:rPr>
          <w:rFonts w:ascii="Calibri" w:eastAsia="Times New Roman" w:hAnsi="Calibri" w:cs="Calibri"/>
          <w:sz w:val="24"/>
          <w:szCs w:val="24"/>
          <w:lang w:val="eu-ES" w:eastAsia="es-ES"/>
        </w:rPr>
      </w:pPr>
      <w:r w:rsidRPr="00D84E74">
        <w:rPr>
          <w:rFonts w:ascii="Calibri" w:eastAsia="Times New Roman" w:hAnsi="Calibri" w:cs="Calibri"/>
          <w:b/>
          <w:sz w:val="24"/>
          <w:szCs w:val="24"/>
          <w:lang w:val="eu-ES" w:eastAsia="es-ES"/>
        </w:rPr>
        <w:t>BIGARRENA.-</w:t>
      </w:r>
      <w:r w:rsidRPr="00D84E74">
        <w:rPr>
          <w:rFonts w:ascii="Calibri" w:eastAsia="Times New Roman" w:hAnsi="Calibri" w:cs="Calibri"/>
          <w:sz w:val="24"/>
          <w:szCs w:val="24"/>
          <w:lang w:val="eu-ES" w:eastAsia="es-ES"/>
        </w:rPr>
        <w:t xml:space="preserve"> Erabaki-proposamena barne duen txosten hori egin ondoren, udal honetako Kontuen Batzorde Bereziaren irizpena jaso dezala.</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720"/>
        <w:jc w:val="both"/>
        <w:rPr>
          <w:rFonts w:ascii="Calibri" w:eastAsia="Times New Roman" w:hAnsi="Calibri" w:cs="Calibri"/>
          <w:sz w:val="24"/>
          <w:szCs w:val="24"/>
          <w:lang w:val="eu-ES" w:eastAsia="es-ES"/>
        </w:rPr>
      </w:pPr>
      <w:r w:rsidRPr="00D84E74">
        <w:rPr>
          <w:rFonts w:ascii="Calibri" w:eastAsia="Times New Roman" w:hAnsi="Calibri" w:cs="Calibri"/>
          <w:b/>
          <w:sz w:val="24"/>
          <w:szCs w:val="24"/>
          <w:lang w:val="eu-ES" w:eastAsia="es-ES"/>
        </w:rPr>
        <w:t xml:space="preserve">HIRUGARRENA.- </w:t>
      </w:r>
      <w:r w:rsidRPr="00D84E74">
        <w:rPr>
          <w:rFonts w:ascii="Calibri" w:eastAsia="Times New Roman" w:hAnsi="Calibri" w:cs="Calibri"/>
          <w:sz w:val="24"/>
          <w:szCs w:val="24"/>
          <w:lang w:val="eu-ES" w:eastAsia="es-ES"/>
        </w:rPr>
        <w:t>Irizpen hori Udalbatzaren Osoko Bilkurara igortzea, egoki iritzitako erabakia har dezan.</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ind w:firstLine="720"/>
        <w:jc w:val="both"/>
        <w:rPr>
          <w:rFonts w:ascii="Calibri" w:eastAsia="Times New Roman" w:hAnsi="Calibri" w:cs="Calibri"/>
          <w:sz w:val="24"/>
          <w:szCs w:val="24"/>
          <w:lang w:val="eu-ES" w:eastAsia="es-ES"/>
        </w:rPr>
      </w:pPr>
      <w:r w:rsidRPr="00D84E74">
        <w:rPr>
          <w:rFonts w:ascii="Calibri" w:eastAsia="Times New Roman" w:hAnsi="Calibri" w:cs="Calibri"/>
          <w:b/>
          <w:sz w:val="24"/>
          <w:szCs w:val="24"/>
          <w:lang w:val="eu-ES" w:eastAsia="es-ES"/>
        </w:rPr>
        <w:t>LAUGARRENA.-</w:t>
      </w:r>
      <w:r w:rsidRPr="00D84E74">
        <w:rPr>
          <w:rFonts w:ascii="Calibri" w:eastAsia="Times New Roman" w:hAnsi="Calibri" w:cs="Calibri"/>
          <w:sz w:val="24"/>
          <w:szCs w:val="24"/>
          <w:lang w:val="eu-ES" w:eastAsia="es-ES"/>
        </w:rPr>
        <w:t xml:space="preserve"> Organo kontu-hartzaileak erakunde hori barne-kontroleko erregimen sinplifikatuan hartzea edo ez hartzea erabaki ondoren, alkatetzari jakinaraztea erabakia, honek Osoko Bilkurari helaraz </w:t>
      </w:r>
      <w:proofErr w:type="spellStart"/>
      <w:r w:rsidRPr="00D84E74">
        <w:rPr>
          <w:rFonts w:ascii="Calibri" w:eastAsia="Times New Roman" w:hAnsi="Calibri" w:cs="Calibri"/>
          <w:sz w:val="24"/>
          <w:szCs w:val="24"/>
          <w:lang w:val="eu-ES" w:eastAsia="es-ES"/>
        </w:rPr>
        <w:t>diezaion</w:t>
      </w:r>
      <w:proofErr w:type="spellEnd"/>
      <w:r w:rsidRPr="00D84E74">
        <w:rPr>
          <w:rFonts w:ascii="Calibri" w:eastAsia="Times New Roman" w:hAnsi="Calibri" w:cs="Calibri"/>
          <w:sz w:val="24"/>
          <w:szCs w:val="24"/>
          <w:lang w:val="eu-ES" w:eastAsia="es-ES"/>
        </w:rPr>
        <w:t>, jakinaren gainean egon dadin.</w:t>
      </w:r>
    </w:p>
    <w:p w:rsidR="00D84E74" w:rsidRPr="00D84E74" w:rsidRDefault="00D84E74" w:rsidP="00D84E74">
      <w:pPr>
        <w:spacing w:after="0" w:line="240" w:lineRule="auto"/>
        <w:jc w:val="both"/>
        <w:rPr>
          <w:rFonts w:ascii="Calibri" w:eastAsia="Times New Roman" w:hAnsi="Calibri" w:cs="Calibri"/>
          <w:sz w:val="24"/>
          <w:szCs w:val="24"/>
          <w:lang w:val="eu-ES" w:eastAsia="es-ES"/>
        </w:rPr>
      </w:pPr>
    </w:p>
    <w:p w:rsidR="00D84E74" w:rsidRPr="00D84E74" w:rsidRDefault="00D84E74" w:rsidP="00D84E74">
      <w:pPr>
        <w:spacing w:after="0" w:line="240" w:lineRule="auto"/>
        <w:jc w:val="center"/>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____________(e)n, ____________(e)</w:t>
      </w:r>
      <w:proofErr w:type="spellStart"/>
      <w:r w:rsidRPr="00D84E74">
        <w:rPr>
          <w:rFonts w:ascii="Calibri" w:eastAsia="Times New Roman" w:hAnsi="Calibri" w:cs="Calibri"/>
          <w:sz w:val="24"/>
          <w:szCs w:val="24"/>
          <w:lang w:val="eu-ES" w:eastAsia="es-ES"/>
        </w:rPr>
        <w:t>an</w:t>
      </w:r>
      <w:proofErr w:type="spellEnd"/>
    </w:p>
    <w:p w:rsidR="00D84E74" w:rsidRPr="00D84E74" w:rsidRDefault="00D84E74" w:rsidP="00D84E74">
      <w:pPr>
        <w:spacing w:after="0" w:line="240" w:lineRule="auto"/>
        <w:jc w:val="center"/>
        <w:rPr>
          <w:rFonts w:ascii="Calibri" w:eastAsia="Times New Roman" w:hAnsi="Calibri" w:cs="Calibri"/>
          <w:sz w:val="24"/>
          <w:szCs w:val="24"/>
          <w:lang w:val="eu-ES" w:eastAsia="es-ES"/>
        </w:rPr>
      </w:pPr>
    </w:p>
    <w:p w:rsidR="00D84E74" w:rsidRPr="00D84E74" w:rsidRDefault="00D84E74" w:rsidP="00D84E74">
      <w:pPr>
        <w:spacing w:after="0" w:line="240" w:lineRule="auto"/>
        <w:jc w:val="center"/>
        <w:rPr>
          <w:rFonts w:ascii="Calibri" w:eastAsia="Times New Roman" w:hAnsi="Calibri" w:cs="Calibri"/>
          <w:sz w:val="24"/>
          <w:szCs w:val="24"/>
          <w:lang w:val="eu-ES" w:eastAsia="es-ES"/>
        </w:rPr>
      </w:pPr>
    </w:p>
    <w:p w:rsidR="00D84E74" w:rsidRPr="00D84E74" w:rsidRDefault="00D84E74" w:rsidP="00D84E74">
      <w:pPr>
        <w:spacing w:after="0" w:line="240" w:lineRule="auto"/>
        <w:jc w:val="center"/>
        <w:rPr>
          <w:rFonts w:ascii="Calibri" w:eastAsia="Times New Roman" w:hAnsi="Calibri" w:cs="Calibri"/>
          <w:sz w:val="24"/>
          <w:szCs w:val="24"/>
          <w:lang w:val="eu-ES" w:eastAsia="es-ES"/>
        </w:rPr>
      </w:pPr>
    </w:p>
    <w:p w:rsidR="00D84E74" w:rsidRPr="00D84E74" w:rsidRDefault="00D84E74" w:rsidP="00D84E74">
      <w:pPr>
        <w:spacing w:after="0" w:line="240" w:lineRule="auto"/>
        <w:jc w:val="center"/>
        <w:rPr>
          <w:rFonts w:ascii="Calibri" w:eastAsia="Times New Roman" w:hAnsi="Calibri" w:cs="Calibri"/>
          <w:i/>
          <w:color w:val="C45911"/>
          <w:sz w:val="24"/>
          <w:szCs w:val="24"/>
          <w:lang w:val="eu-ES" w:eastAsia="es-ES"/>
        </w:rPr>
      </w:pPr>
      <w:r w:rsidRPr="00D84E74">
        <w:rPr>
          <w:rFonts w:ascii="Calibri" w:eastAsia="Times New Roman" w:hAnsi="Calibri" w:cs="Calibri"/>
          <w:i/>
          <w:color w:val="C45911"/>
          <w:sz w:val="24"/>
          <w:szCs w:val="24"/>
          <w:lang w:val="eu-ES" w:eastAsia="es-ES"/>
        </w:rPr>
        <w:t>[Alkatea / Lehendakaria]</w:t>
      </w:r>
    </w:p>
    <w:p w:rsidR="00D84E74" w:rsidRPr="00D84E74" w:rsidRDefault="00D84E74" w:rsidP="00D84E74">
      <w:pPr>
        <w:spacing w:after="0" w:line="240" w:lineRule="auto"/>
        <w:jc w:val="center"/>
        <w:rPr>
          <w:rFonts w:ascii="Calibri" w:eastAsia="Times New Roman" w:hAnsi="Calibri" w:cs="Calibri"/>
          <w:sz w:val="24"/>
          <w:szCs w:val="24"/>
          <w:lang w:val="eu-ES" w:eastAsia="es-ES"/>
        </w:rPr>
      </w:pPr>
    </w:p>
    <w:p w:rsidR="00D84E74" w:rsidRPr="00D84E74" w:rsidRDefault="00D84E74" w:rsidP="00D84E74">
      <w:pPr>
        <w:spacing w:after="0" w:line="240" w:lineRule="auto"/>
        <w:jc w:val="center"/>
        <w:rPr>
          <w:rFonts w:ascii="Calibri" w:eastAsia="Times New Roman" w:hAnsi="Calibri" w:cs="Calibri"/>
          <w:sz w:val="24"/>
          <w:szCs w:val="24"/>
          <w:lang w:val="eu-ES" w:eastAsia="es-ES"/>
        </w:rPr>
      </w:pPr>
    </w:p>
    <w:p w:rsidR="00D84E74" w:rsidRPr="00D84E74" w:rsidRDefault="00D84E74" w:rsidP="00D84E74">
      <w:pPr>
        <w:spacing w:after="0" w:line="240" w:lineRule="auto"/>
        <w:jc w:val="center"/>
        <w:rPr>
          <w:rFonts w:ascii="Calibri" w:eastAsia="Times New Roman" w:hAnsi="Calibri" w:cs="Calibri"/>
          <w:sz w:val="24"/>
          <w:szCs w:val="24"/>
          <w:lang w:val="eu-ES" w:eastAsia="es-ES"/>
        </w:rPr>
      </w:pPr>
      <w:r w:rsidRPr="00D84E74">
        <w:rPr>
          <w:rFonts w:ascii="Calibri" w:eastAsia="Times New Roman" w:hAnsi="Calibri" w:cs="Calibri"/>
          <w:sz w:val="24"/>
          <w:szCs w:val="24"/>
          <w:lang w:val="eu-ES" w:eastAsia="es-ES"/>
        </w:rPr>
        <w:t>Izpta.: _______________</w:t>
      </w:r>
    </w:p>
    <w:p w:rsidR="00D84E74" w:rsidRPr="00D84E74" w:rsidRDefault="00D84E74" w:rsidP="00D84E74">
      <w:pPr>
        <w:spacing w:after="0" w:line="240" w:lineRule="auto"/>
        <w:jc w:val="both"/>
        <w:outlineLvl w:val="2"/>
        <w:rPr>
          <w:rFonts w:ascii="Calibri" w:eastAsia="Times New Roman" w:hAnsi="Calibri" w:cs="Calibri"/>
          <w:sz w:val="24"/>
          <w:szCs w:val="24"/>
          <w:lang w:eastAsia="es-ES"/>
        </w:rPr>
      </w:pPr>
    </w:p>
    <w:p w:rsidR="00A74043" w:rsidRPr="00D84E74" w:rsidRDefault="00A74043" w:rsidP="00D84E74">
      <w:bookmarkStart w:id="0" w:name="_GoBack"/>
      <w:bookmarkEnd w:id="0"/>
    </w:p>
    <w:sectPr w:rsidR="00A74043" w:rsidRPr="00D84E74" w:rsidSect="00542003">
      <w:pgSz w:w="11906" w:h="16838"/>
      <w:pgMar w:top="1843" w:right="1133" w:bottom="1418"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0D92"/>
    <w:multiLevelType w:val="hybridMultilevel"/>
    <w:tmpl w:val="95C40F68"/>
    <w:lvl w:ilvl="0" w:tplc="9CEC7BCA">
      <w:start w:val="1"/>
      <w:numFmt w:val="lowerLetter"/>
      <w:lvlText w:val="%1)"/>
      <w:lvlJc w:val="left"/>
      <w:pPr>
        <w:ind w:left="644" w:hanging="360"/>
      </w:pPr>
      <w:rPr>
        <w:rFonts w:hint="default"/>
      </w:rPr>
    </w:lvl>
    <w:lvl w:ilvl="1" w:tplc="042D0019" w:tentative="1">
      <w:start w:val="1"/>
      <w:numFmt w:val="lowerLetter"/>
      <w:lvlText w:val="%2."/>
      <w:lvlJc w:val="left"/>
      <w:pPr>
        <w:ind w:left="1364" w:hanging="360"/>
      </w:pPr>
    </w:lvl>
    <w:lvl w:ilvl="2" w:tplc="042D001B" w:tentative="1">
      <w:start w:val="1"/>
      <w:numFmt w:val="lowerRoman"/>
      <w:lvlText w:val="%3."/>
      <w:lvlJc w:val="right"/>
      <w:pPr>
        <w:ind w:left="2084" w:hanging="180"/>
      </w:pPr>
    </w:lvl>
    <w:lvl w:ilvl="3" w:tplc="042D000F" w:tentative="1">
      <w:start w:val="1"/>
      <w:numFmt w:val="decimal"/>
      <w:lvlText w:val="%4."/>
      <w:lvlJc w:val="left"/>
      <w:pPr>
        <w:ind w:left="2804" w:hanging="360"/>
      </w:pPr>
    </w:lvl>
    <w:lvl w:ilvl="4" w:tplc="042D0019" w:tentative="1">
      <w:start w:val="1"/>
      <w:numFmt w:val="lowerLetter"/>
      <w:lvlText w:val="%5."/>
      <w:lvlJc w:val="left"/>
      <w:pPr>
        <w:ind w:left="3524" w:hanging="360"/>
      </w:pPr>
    </w:lvl>
    <w:lvl w:ilvl="5" w:tplc="042D001B" w:tentative="1">
      <w:start w:val="1"/>
      <w:numFmt w:val="lowerRoman"/>
      <w:lvlText w:val="%6."/>
      <w:lvlJc w:val="right"/>
      <w:pPr>
        <w:ind w:left="4244" w:hanging="180"/>
      </w:pPr>
    </w:lvl>
    <w:lvl w:ilvl="6" w:tplc="042D000F" w:tentative="1">
      <w:start w:val="1"/>
      <w:numFmt w:val="decimal"/>
      <w:lvlText w:val="%7."/>
      <w:lvlJc w:val="left"/>
      <w:pPr>
        <w:ind w:left="4964" w:hanging="360"/>
      </w:pPr>
    </w:lvl>
    <w:lvl w:ilvl="7" w:tplc="042D0019" w:tentative="1">
      <w:start w:val="1"/>
      <w:numFmt w:val="lowerLetter"/>
      <w:lvlText w:val="%8."/>
      <w:lvlJc w:val="left"/>
      <w:pPr>
        <w:ind w:left="5684" w:hanging="360"/>
      </w:pPr>
    </w:lvl>
    <w:lvl w:ilvl="8" w:tplc="042D001B" w:tentative="1">
      <w:start w:val="1"/>
      <w:numFmt w:val="lowerRoman"/>
      <w:lvlText w:val="%9."/>
      <w:lvlJc w:val="right"/>
      <w:pPr>
        <w:ind w:left="6404" w:hanging="180"/>
      </w:pPr>
    </w:lvl>
  </w:abstractNum>
  <w:abstractNum w:abstractNumId="1" w15:restartNumberingAfterBreak="0">
    <w:nsid w:val="3618024C"/>
    <w:multiLevelType w:val="hybridMultilevel"/>
    <w:tmpl w:val="7F22DBE0"/>
    <w:lvl w:ilvl="0" w:tplc="0C0A0005">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B0"/>
    <w:rsid w:val="00336C56"/>
    <w:rsid w:val="00481EB0"/>
    <w:rsid w:val="004C46F3"/>
    <w:rsid w:val="00733E34"/>
    <w:rsid w:val="007E11AC"/>
    <w:rsid w:val="00814B26"/>
    <w:rsid w:val="00864EB0"/>
    <w:rsid w:val="00872979"/>
    <w:rsid w:val="008E5F77"/>
    <w:rsid w:val="00A74043"/>
    <w:rsid w:val="00AC6167"/>
    <w:rsid w:val="00C11CE6"/>
    <w:rsid w:val="00D84E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74284-0D50-46C4-B10C-CB30D912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336C56"/>
    <w:pPr>
      <w:spacing w:after="0" w:line="240" w:lineRule="auto"/>
      <w:ind w:left="708"/>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5547</Characters>
  <Application>Microsoft Office Word</Application>
  <DocSecurity>0</DocSecurity>
  <Lines>46</Lines>
  <Paragraphs>13</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ARIZTONDO URRETABIZKAIA, Jone</dc:creator>
  <cp:keywords/>
  <dc:description/>
  <cp:lastModifiedBy>CRESPO EMERIT, Jon</cp:lastModifiedBy>
  <cp:revision>2</cp:revision>
  <cp:lastPrinted>2024-02-26T13:47:00Z</cp:lastPrinted>
  <dcterms:created xsi:type="dcterms:W3CDTF">2024-06-13T06:56:00Z</dcterms:created>
  <dcterms:modified xsi:type="dcterms:W3CDTF">2024-06-13T06:56:00Z</dcterms:modified>
</cp:coreProperties>
</file>